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учебной и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производственной практики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по профилю специальности 31.02.03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«Лабораторная диагностика»</w:t>
      </w:r>
    </w:p>
    <w:p>
      <w:pPr>
        <w:pStyle w:val="Normal"/>
        <w:spacing w:before="24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Профессиональный модуль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ПМ 03  </w:t>
      </w: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П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роведение лабораторных биохимических исследований</w:t>
      </w:r>
    </w:p>
    <w:p>
      <w:pPr>
        <w:pStyle w:val="Normal"/>
        <w:spacing w:before="120" w:after="0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МДК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03.01. Теория и практика лабораторных биохимических исследований</w:t>
      </w:r>
    </w:p>
    <w:p>
      <w:pPr>
        <w:pStyle w:val="Normal"/>
        <w:spacing w:before="120" w:after="0"/>
        <w:rPr/>
      </w:pPr>
      <w:r>
        <w:rPr>
          <w:rFonts w:cs="Times New Roman" w:ascii="Times New Roman" w:hAnsi="Times New Roman"/>
          <w:sz w:val="28"/>
          <w:szCs w:val="28"/>
        </w:rPr>
        <w:t>Курс</w:t>
        <w:tab/>
      </w: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 Семестр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VI</w:t>
      </w:r>
    </w:p>
    <w:p>
      <w:pPr>
        <w:pStyle w:val="Normal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Профессиональные компетенции: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ПК 3.1. Готовить рабочее место для проведения лабораторных биохимических исследований.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ПК 3.2. Проводить лабораторные биохимические исследования биологических материалов; участвовать в контроле ка</w:t>
        <w:softHyphen/>
        <w:t>чества.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ПК 3.3. Регистрировать полученные результаты лабораторных биохимических исследований.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ПК 3.4. 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Normal"/>
        <w:widowControl w:val="false"/>
        <w:spacing w:before="0" w:after="0"/>
        <w:ind w:firstLine="709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результатам освоения модуля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целью овладения видом профессиональной деятельности </w:t>
      </w:r>
      <w:r>
        <w:rPr>
          <w:rFonts w:cs="Times New Roman" w:ascii="Times New Roman" w:hAnsi="Times New Roman"/>
          <w:b/>
          <w:bCs/>
          <w:sz w:val="28"/>
          <w:szCs w:val="28"/>
        </w:rPr>
        <w:t>«Проведение лабораторных биохимических исследова</w:t>
        <w:softHyphen/>
        <w:t xml:space="preserve">ний» </w:t>
      </w:r>
      <w:r>
        <w:rPr>
          <w:rFonts w:cs="Times New Roman" w:ascii="Times New Roman" w:hAnsi="Times New Roman"/>
          <w:sz w:val="28"/>
          <w:szCs w:val="28"/>
        </w:rPr>
        <w:t xml:space="preserve"> и соответствующими профессиональными компетенциями студент в ходе освоения профессионального модуля дол</w:t>
        <w:softHyphen/>
        <w:t>жен: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иметь практический опыт </w:t>
      </w:r>
      <w:r>
        <w:rPr>
          <w:rFonts w:cs="Times New Roman" w:ascii="Times New Roman" w:hAnsi="Times New Roman"/>
          <w:sz w:val="28"/>
          <w:szCs w:val="28"/>
        </w:rPr>
        <w:t>определения показателей белкового, липидного, углеводного и минерального обменов, активно</w:t>
        <w:softHyphen/>
        <w:t xml:space="preserve">сти ферментов, белков острой фазы, показателей гемостаза.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i/>
          <w:sz w:val="28"/>
          <w:szCs w:val="28"/>
        </w:rPr>
        <w:t>уметь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готовить материал к биохимическим исследованиям;</w:t>
      </w:r>
    </w:p>
    <w:p>
      <w:pPr>
        <w:pStyle w:val="Style19"/>
        <w:widowControl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биохимические показатели крови, мочи, ликвора и т.д.;</w:t>
      </w:r>
    </w:p>
    <w:p>
      <w:pPr>
        <w:pStyle w:val="Style19"/>
        <w:widowControl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работать на биохимических анализаторах;</w:t>
      </w:r>
    </w:p>
    <w:p>
      <w:pPr>
        <w:pStyle w:val="Style19"/>
        <w:widowControl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вести учетно-отчетную документацию;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>
          <w:rFonts w:ascii="Times New Roman" w:hAnsi="Times New Roman"/>
          <w:i w:val="false"/>
          <w:i w:val="false"/>
          <w:iCs w:val="false"/>
          <w:sz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принимать, регистрировать, отбирать клинический материал.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i/>
          <w:sz w:val="28"/>
          <w:szCs w:val="28"/>
        </w:rPr>
        <w:t>знать</w:t>
      </w:r>
    </w:p>
    <w:p>
      <w:pPr>
        <w:pStyle w:val="Style19"/>
        <w:widowControl/>
        <w:numPr>
          <w:ilvl w:val="0"/>
          <w:numId w:val="1"/>
        </w:numPr>
        <w:tabs>
          <w:tab w:val="left" w:pos="227" w:leader="none"/>
          <w:tab w:val="left" w:pos="709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задачи, структуру, оборудование, правила работы и техники безопасности в биохимической лаборатории;</w:t>
      </w:r>
    </w:p>
    <w:p>
      <w:pPr>
        <w:pStyle w:val="Style19"/>
        <w:widowControl/>
        <w:numPr>
          <w:ilvl w:val="0"/>
          <w:numId w:val="1"/>
        </w:numPr>
        <w:tabs>
          <w:tab w:val="left" w:pos="227" w:leader="none"/>
          <w:tab w:val="left" w:pos="709" w:leader="none"/>
        </w:tabs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ru-RU" w:eastAsia="ru-RU"/>
        </w:rPr>
        <w:t xml:space="preserve">особенности подготовки </w:t>
      </w:r>
      <w:r>
        <w:rPr>
          <w:rFonts w:ascii="Times New Roman" w:hAnsi="Times New Roman"/>
          <w:sz w:val="28"/>
        </w:rPr>
        <w:t>пациента к биохимическим лабораторным исследованиям;</w:t>
      </w:r>
    </w:p>
    <w:p>
      <w:pPr>
        <w:pStyle w:val="Style19"/>
        <w:widowControl/>
        <w:numPr>
          <w:ilvl w:val="0"/>
          <w:numId w:val="1"/>
        </w:numPr>
        <w:tabs>
          <w:tab w:val="left" w:pos="227" w:leader="none"/>
          <w:tab w:val="left" w:pos="709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методы и диагностическое значение биохимических исследований крови, мочи, ликвора и т.д.;</w:t>
      </w:r>
    </w:p>
    <w:p>
      <w:pPr>
        <w:pStyle w:val="Style19"/>
        <w:widowControl/>
        <w:numPr>
          <w:ilvl w:val="0"/>
          <w:numId w:val="1"/>
        </w:numPr>
        <w:tabs>
          <w:tab w:val="left" w:pos="227" w:leader="none"/>
          <w:tab w:val="left" w:pos="709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основы гомеостаза; биохимические механизмы сохранения гомеостаза;</w:t>
      </w:r>
    </w:p>
    <w:p>
      <w:pPr>
        <w:pStyle w:val="Style19"/>
        <w:widowControl/>
        <w:numPr>
          <w:ilvl w:val="0"/>
          <w:numId w:val="1"/>
        </w:numPr>
        <w:tabs>
          <w:tab w:val="left" w:pos="227" w:leader="none"/>
          <w:tab w:val="left" w:pos="709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процесов; </w:t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  <w:tab w:val="left" w:pos="57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lang w:val="ru-RU" w:eastAsia="ru-RU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 w:eastAsia="ru-RU"/>
        </w:rPr>
        <w:t>основные методы исследования обмена веществ, гормонального профиля, ферментов и др.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1535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38"/>
        <w:gridCol w:w="5145"/>
        <w:gridCol w:w="2296"/>
        <w:gridCol w:w="5872"/>
      </w:tblGrid>
      <w:tr>
        <w:trPr/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ПК</w:t>
            </w:r>
          </w:p>
        </w:tc>
        <w:tc>
          <w:tcPr>
            <w:tcW w:w="51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Этап работы</w:t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Продолжительность</w:t>
            </w:r>
          </w:p>
        </w:tc>
        <w:tc>
          <w:tcPr>
            <w:tcW w:w="58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Перечень практических умений и навыков</w:t>
            </w:r>
          </w:p>
        </w:tc>
      </w:tr>
      <w:tr>
        <w:trPr/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3.1.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3.2. 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3.3. 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3.4.</w:t>
            </w:r>
          </w:p>
        </w:tc>
        <w:tc>
          <w:tcPr>
            <w:tcW w:w="51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Лаборатория биохимических исследова</w:t>
              <w:softHyphen/>
              <w:t>ний АБМК (учебная практика)</w:t>
            </w:r>
          </w:p>
          <w:p>
            <w:pPr>
              <w:pStyle w:val="3"/>
              <w:spacing w:lineRule="auto" w:line="240" w:before="0" w:after="0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</w:rPr>
            </w:r>
          </w:p>
          <w:p>
            <w:pPr>
              <w:pStyle w:val="3"/>
              <w:spacing w:lineRule="auto" w:line="240" w:before="0" w:after="0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eastAsia="Times New Roman" w:cs="Times New Roman" w:ascii="Cambria" w:hAnsi="Cambria"/>
                <w:b w:val="false"/>
                <w:bCs w:val="false"/>
                <w:color w:val="auto"/>
                <w:sz w:val="24"/>
                <w:szCs w:val="24"/>
              </w:rPr>
              <w:t xml:space="preserve">Проведение лабораторных биохимических исследований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по определению показателей углеводного обмена: 1) о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пределение глюкозы в капиллярной крови, в сыворотке крови, в моче; 2) определение ПВК, молочной кислоты, сиаловых кислот, серомукоида, мукопротеинов в сыворотке крови; гликозилированного гемоглобина в венозной крови;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роведение ТТГ, исследование гликемического профиля.</w:t>
            </w:r>
          </w:p>
          <w:p>
            <w:pPr>
              <w:pStyle w:val="3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</w:rPr>
            </w:r>
          </w:p>
          <w:p>
            <w:pPr>
              <w:pStyle w:val="3"/>
              <w:spacing w:lineRule="auto" w:line="240" w:before="0" w:after="0"/>
              <w:rPr>
                <w:rFonts w:ascii="Times New Roman" w:hAnsi="Times New Roman"/>
                <w:outline w:val="false"/>
                <w:shadow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outline w:val="false"/>
                <w:shadow w:val="false"/>
                <w:color w:val="auto"/>
                <w:sz w:val="24"/>
                <w:szCs w:val="24"/>
              </w:rPr>
              <w:t xml:space="preserve">Проведение лабораторных биохимических исследований </w:t>
            </w:r>
            <w:r>
              <w:rPr>
                <w:rFonts w:cs="Times New Roman" w:ascii="Times New Roman" w:hAnsi="Times New Roman"/>
                <w:b w:val="false"/>
                <w:bCs w:val="false"/>
                <w:outline w:val="false"/>
                <w:shadow w:val="false"/>
                <w:color w:val="auto"/>
                <w:sz w:val="24"/>
                <w:szCs w:val="24"/>
              </w:rPr>
              <w:t xml:space="preserve">по определению активности ферментов: </w:t>
            </w:r>
            <w:r>
              <w:rPr>
                <w:rFonts w:cs="Times New Roman" w:ascii="Times New Roman" w:hAnsi="Times New Roman"/>
                <w:b w:val="false"/>
                <w:bCs w:val="false"/>
                <w:outline w:val="false"/>
                <w:shadow w:val="false"/>
                <w:color w:val="auto"/>
                <w:sz w:val="24"/>
                <w:szCs w:val="24"/>
              </w:rPr>
              <w:t xml:space="preserve">1) </w:t>
            </w:r>
            <w:r>
              <w:rPr>
                <w:rFonts w:cs="Times New Roman" w:ascii="Times New Roman" w:hAnsi="Times New Roman"/>
                <w:b w:val="false"/>
                <w:bCs w:val="false"/>
                <w:outline w:val="false"/>
                <w:shadow w:val="false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outline w:val="false"/>
                <w:shadow w:val="false"/>
                <w:color w:val="auto"/>
                <w:sz w:val="24"/>
                <w:szCs w:val="24"/>
              </w:rPr>
              <w:t xml:space="preserve">α-амилазы, </w:t>
            </w:r>
            <w:r>
              <w:rPr>
                <w:rFonts w:cs="Times New Roman" w:ascii="Times New Roman" w:hAnsi="Times New Roman"/>
                <w:b w:val="false"/>
                <w:bCs w:val="false"/>
                <w:outline w:val="false"/>
                <w:shadow w:val="false"/>
                <w:color w:val="auto"/>
                <w:spacing w:val="0"/>
                <w:sz w:val="24"/>
                <w:szCs w:val="24"/>
              </w:rPr>
              <w:t xml:space="preserve"> холинэстеразы, фосфатаз в сыворотке крови; 2) аминотранс-фераз, γ-глутамилтрансферазы в сыворотке крови; 3) креатинкиназы, лактатдегидрогеназы в сыворотке крови.</w:t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 часов</w:t>
            </w:r>
          </w:p>
        </w:tc>
        <w:tc>
          <w:tcPr>
            <w:tcW w:w="58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преаналитического, аналитического и постаналитического этапа работы.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доставки, приёма, маркировки, регистрации,  хранения, подготовки, оценки биоматериала.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сыворотки и плазмы.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рабочего места,  лабораторного оборудования и посуды для проведения биохимических исследований с соблюдением техники безопасности и противопожарной безопасности.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материала, дезинфекции лабораторной посуды, инструментария, средств защиты  рабочего места и аппаратуры.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безопасности, охраны труда и инфекционной безопасности при проведении биохимических исследований.</w:t>
            </w:r>
          </w:p>
          <w:p>
            <w:pPr>
              <w:pStyle w:val="Style12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с аппаратурой: центрифугой, КФК-3, с дозаторами переменного и постоянного объёма.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расчетов активности ферментов по эталонному раствору, калибровочному графику, калибровочной таблице.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Интерпретация результатов проведенных исследований. Оформление учетно-отчетной документации. </w:t>
            </w:r>
          </w:p>
        </w:tc>
      </w:tr>
      <w:tr>
        <w:trPr/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3.1.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3.2. 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3.3. 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ПК 3.4.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Биохимический отдел КДЛ по месту прохождения практики в ЛПУ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(произ-водственная практика)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лабораторных биохимических исследований по определению показателей белкового обмена: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общего белка, альбуминов, средних молекул,  СРБ в сыворотке крови; проведение электрофореза белковых фракций сыворотки крови;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2)  продуктов обмена простых и сложных белков:</w:t>
            </w:r>
            <w:r>
              <w:rPr>
                <w:rFonts w:eastAsia="Calibri" w:ascii="Times New Roman" w:hAnsi="Times New Roman"/>
                <w:sz w:val="26"/>
                <w:szCs w:val="24"/>
              </w:rPr>
              <w:t xml:space="preserve"> 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мочевины, мочевой  кислоты в сыворотке крови и моче.</w:t>
            </w:r>
            <w:r>
              <w:rPr>
                <w:rFonts w:eastAsia="Calibri" w:ascii="Times New Roman" w:hAnsi="Times New Roman"/>
                <w:sz w:val="26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3) общего билирубина и его фракций в сыворотке крови. 4) </w:t>
            </w:r>
            <w:r>
              <w:rPr>
                <w:rFonts w:eastAsia="Calibri" w:ascii="Times New Roman" w:hAnsi="Times New Roman"/>
                <w:sz w:val="26"/>
                <w:szCs w:val="24"/>
              </w:rPr>
              <w:t>креатинина в сыворотке крови и моче;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пробы Реберга-Тареева.</w:t>
            </w:r>
            <w:r>
              <w:rPr>
                <w:rFonts w:eastAsia="Calibri" w:ascii="Times New Roman" w:hAnsi="Times New Roman"/>
                <w:sz w:val="26"/>
                <w:szCs w:val="24"/>
              </w:rPr>
              <w:t xml:space="preserve"> 5)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проб коллоидоустойчивости,  тимоловой пробы.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лабораторных биохимических исследований по определению показателей липидного обмена: </w:t>
            </w:r>
            <w:r>
              <w:rPr>
                <w:rFonts w:ascii="Times New Roman" w:hAnsi="Times New Roman"/>
                <w:sz w:val="24"/>
                <w:szCs w:val="24"/>
              </w:rPr>
              <w:t>1) триглицеридов; 2) общего холестерина, холестерина ЛПВП и холестерина ЛПНП.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лабораторных биохимических исследований по определению показателей в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одно-электролитного,  минерального, кислотно-основного баланса: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1) концентрации ионов калия и натрия, хлоридов; 2) концентрации ионов кальция, неорганического фосфора; 3) концентрации ионов железа и ОЖСС в сыворотке крови; 4) показателей кислотно-основного баланса.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определению показателей г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емостаза: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1) протромбинового времени; 2) активированного частичного тромбопластинового времени (АЧТВ); 3) тромбинового времени, фибриногена; 4) исследование плазминовой системы: определение Д-димера,  РФМК, стимулированного эуглобулинового лизиса фактором </w:t>
            </w: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а.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внутрилабораторного к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онтроля качества: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1) у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частие в проведении внутрилабораторного контроля качества количественных клинических методов исследования  методом контрольных карт;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2) участие в проведении внутрилабораторного контроля качества количественных клинических методов исследования  методом кумулятивных сумм.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лабораторных биохимических исследований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при патологии: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1) выполнение  биохимических исследований для диагностики атеросклероза, инфаркта миокарда, сахарного диабета, патологии ЖКТ и выделительной системы.</w:t>
            </w:r>
          </w:p>
        </w:tc>
        <w:tc>
          <w:tcPr>
            <w:tcW w:w="22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 часов</w:t>
            </w:r>
          </w:p>
        </w:tc>
        <w:tc>
          <w:tcPr>
            <w:tcW w:w="58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преаналитического, аналитического и постаналитического этапа работы.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доставки, приёма, маркировки, регистрации,  хранения, подготовки, оценки биоматериала.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сыворотки и плазмы.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рабочего места,  лабораторного оборудования и посуды для проведения биохимических исследований с соблюдением техники безопасности и противопожарной безопасности.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материала, дезинфекции лабораторной посуды, инструментария, средств защиты  рабочего места и аппаратуры.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учетно-отчетной документации.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безопасности, охраны труда и инфекционной безопасности при проведении биохимических исследований.</w:t>
            </w:r>
          </w:p>
          <w:p>
            <w:pPr>
              <w:pStyle w:val="Style12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с аппаратурой: центрифугой, КФК-3,  биохимическими анализаторами, с дозаторами переменного и постоянного объёма.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Интерпретация результатов проведенных исследований. Оформление учетно-отчетной документации.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рабочего места,  лабораторного оборудования и посуды для проведения   исследований  системы  гемостаза. Приготовление богатой и бедной тромбоцитами плазмы. Проведение аналитического и постаналитического этапа работы.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контроля качества. Оформление учетно-отчетной документации. Интерпретация результатов проведенных исследований.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16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6c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z0">
    <w:name w:val="WW8Num6z0"/>
    <w:qFormat/>
    <w:rPr>
      <w:rFonts w:ascii="Symbol" w:hAnsi="Symbol" w:cs="Symbol"/>
      <w:color w:val="000000"/>
      <w:sz w:val="16"/>
      <w:szCs w:val="1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0">
    <w:name w:val="WW8Num2z0"/>
    <w:qFormat/>
    <w:rPr>
      <w:rFonts w:ascii="Symbol" w:hAnsi="Symbol" w:cs="Symbol"/>
      <w:sz w:val="28"/>
    </w:rPr>
  </w:style>
  <w:style w:type="character" w:styleId="WW8Num7z0">
    <w:name w:val="WW8Num7z0"/>
    <w:qFormat/>
    <w:rPr>
      <w:rFonts w:ascii="Symbol" w:hAnsi="Symbol" w:cs="Symbol"/>
      <w:sz w:val="28"/>
    </w:rPr>
  </w:style>
  <w:style w:type="character" w:styleId="ListLabel1">
    <w:name w:val="ListLabel 1"/>
    <w:qFormat/>
    <w:rPr>
      <w:rFonts w:ascii="Times New Roman" w:hAnsi="Times New Roman" w:cs="Symbol"/>
      <w:color w:val="000000"/>
      <w:sz w:val="28"/>
      <w:szCs w:val="16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Перечисление для таблиц"/>
    <w:basedOn w:val="Normal"/>
    <w:qFormat/>
    <w:pPr>
      <w:tabs>
        <w:tab w:val="left" w:pos="227" w:leader="none"/>
      </w:tabs>
      <w:ind w:left="227" w:hanging="227"/>
      <w:jc w:val="both"/>
    </w:pPr>
    <w:rPr>
      <w:sz w:val="22"/>
    </w:rPr>
  </w:style>
  <w:style w:type="numbering" w:styleId="NoList" w:default="1">
    <w:name w:val="No List"/>
    <w:uiPriority w:val="99"/>
    <w:semiHidden/>
    <w:unhideWhenUsed/>
  </w:style>
  <w:style w:type="numbering" w:styleId="WW8Num6">
    <w:name w:val="WW8Num6"/>
  </w:style>
  <w:style w:type="numbering" w:styleId="WW8Num2">
    <w:name w:val="WW8Num2"/>
  </w:style>
  <w:style w:type="numbering" w:styleId="WW8Num7">
    <w:name w:val="WW8Num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LibreOffice/5.0.2.2$Windows_x86 LibreOffice_project/37b43f919e4de5eeaca9b9755ed688758a8251fe</Application>
  <Paragraphs>75</Paragraphs>
  <Company>АБМК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2016-02-04T14:18:00Z</dcterms:created>
  <dc:creator>kramorenko.m</dc:creator>
  <dc:language>ru-RU</dc:language>
  <cp:lastPrinted>2016-02-17T11:29:00Z</cp:lastPrinted>
  <dcterms:modified xsi:type="dcterms:W3CDTF">2016-03-04T12:27:41Z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АБМК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